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of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255450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28427D89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  <w:r w:rsidR="00094104">
              <w:rPr>
                <w:b/>
                <w:sz w:val="24"/>
                <w:szCs w:val="24"/>
              </w:rPr>
              <w:t>Sigma-Aldrich</w:t>
            </w:r>
          </w:p>
        </w:tc>
      </w:tr>
      <w:tr w:rsidR="007B1D93" w:rsidRPr="00084552" w14:paraId="69D9B35E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5B59EE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5B59EE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5B59EE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5B59EE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5B59EE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229B6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DDCF411" w14:textId="77777777" w:rsidR="00EE0DD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4A01296" wp14:editId="60CC1B6F">
                  <wp:extent cx="4720590" cy="3757295"/>
                  <wp:effectExtent l="19050" t="19050" r="22860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757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4E592B3F" w:rsidR="00EE0DD7" w:rsidRPr="0026795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A5FB9D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7B4F8387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</w:t>
            </w:r>
            <w:r w:rsidR="0050222B">
              <w:rPr>
                <w:bCs w:val="0"/>
                <w:sz w:val="24"/>
                <w:szCs w:val="24"/>
              </w:rPr>
              <w:t xml:space="preserve"> You will be presented with a list of vendors available in the Ariba system. Click on the Sigma Aldrich Inc link.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2C478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F8CADB0" w14:textId="77777777" w:rsidR="0050222B" w:rsidRDefault="0050222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0CAC956" wp14:editId="7E9AA6CE">
                  <wp:extent cx="4720590" cy="2453005"/>
                  <wp:effectExtent l="0" t="0" r="381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7B5B1049" w:rsidR="0050222B" w:rsidRPr="00267957" w:rsidRDefault="0050222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44B91" w:rsidRPr="00084552" w14:paraId="7E8DD752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067FC" w14:textId="424D91B7" w:rsidR="00644B91" w:rsidRDefault="00644B91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5A067E">
              <w:rPr>
                <w:bCs w:val="0"/>
                <w:sz w:val="24"/>
                <w:szCs w:val="24"/>
              </w:rPr>
              <w:t xml:space="preserve">Click the </w:t>
            </w:r>
            <w:r w:rsidR="005A067E" w:rsidRPr="00076BF3">
              <w:rPr>
                <w:bCs w:val="0"/>
                <w:sz w:val="24"/>
                <w:szCs w:val="24"/>
              </w:rPr>
              <w:t>Buy from Supplier</w:t>
            </w:r>
            <w:r w:rsidR="005A067E">
              <w:rPr>
                <w:bCs w:val="0"/>
                <w:sz w:val="24"/>
                <w:szCs w:val="24"/>
              </w:rPr>
              <w:t xml:space="preserve">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42547" w14:textId="77777777" w:rsidR="00644B91" w:rsidRDefault="00644B9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1C82025" w14:textId="6EAF11B0" w:rsidR="00644B91" w:rsidRDefault="005A067E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D467AC8" wp14:editId="23E12F96">
                  <wp:extent cx="4720590" cy="1141095"/>
                  <wp:effectExtent l="0" t="0" r="381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2290F" w14:textId="111D07FD" w:rsidR="00644B91" w:rsidRDefault="00644B9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75B6ECE9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28D7" w14:textId="0D2EB5FF" w:rsidR="00255450" w:rsidRPr="00267957" w:rsidRDefault="005A067E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  <w:r w:rsidR="00EE0DD7">
              <w:rPr>
                <w:bCs w:val="0"/>
                <w:sz w:val="24"/>
                <w:szCs w:val="24"/>
              </w:rPr>
              <w:t>.</w:t>
            </w:r>
            <w:r w:rsidR="0050222B">
              <w:rPr>
                <w:bCs w:val="0"/>
                <w:sz w:val="24"/>
                <w:szCs w:val="24"/>
              </w:rPr>
              <w:t xml:space="preserve"> </w:t>
            </w:r>
            <w:r w:rsidR="00124DA0">
              <w:rPr>
                <w:bCs w:val="0"/>
                <w:sz w:val="24"/>
                <w:szCs w:val="24"/>
              </w:rPr>
              <w:t>The landing page for the Sigma-Aldrich punchout is a</w:t>
            </w:r>
            <w:r w:rsidR="0050222B">
              <w:rPr>
                <w:bCs w:val="0"/>
                <w:sz w:val="24"/>
                <w:szCs w:val="24"/>
              </w:rPr>
              <w:t xml:space="preserve"> Quick Order page. </w:t>
            </w:r>
            <w:r w:rsidR="00604A34">
              <w:rPr>
                <w:bCs w:val="0"/>
                <w:sz w:val="24"/>
                <w:szCs w:val="24"/>
              </w:rPr>
              <w:t>From this page there are two paths you can use to</w:t>
            </w:r>
            <w:r w:rsidR="0050222B">
              <w:rPr>
                <w:bCs w:val="0"/>
                <w:sz w:val="24"/>
                <w:szCs w:val="24"/>
              </w:rPr>
              <w:t xml:space="preserve"> retrieve a quote</w:t>
            </w:r>
            <w:r w:rsidR="00604A34">
              <w:rPr>
                <w:bCs w:val="0"/>
                <w:sz w:val="24"/>
                <w:szCs w:val="24"/>
              </w:rPr>
              <w:t>. The first is to</w:t>
            </w:r>
            <w:r w:rsidR="0050222B">
              <w:rPr>
                <w:bCs w:val="0"/>
                <w:sz w:val="24"/>
                <w:szCs w:val="24"/>
              </w:rPr>
              <w:t xml:space="preserve"> click on Account and then orders.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4E286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5E021B9" w14:textId="77777777" w:rsidR="0050222B" w:rsidRDefault="0050222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7B93A09" wp14:editId="37F42A23">
                  <wp:extent cx="4720590" cy="2509520"/>
                  <wp:effectExtent l="0" t="0" r="381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66B3AC26" w:rsidR="0050222B" w:rsidRPr="00267957" w:rsidRDefault="0050222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1B2168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BA3DB" w14:textId="413B5571" w:rsidR="00255450" w:rsidRPr="00267957" w:rsidRDefault="005A067E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9</w:t>
            </w:r>
            <w:r w:rsidR="00EE0DD7">
              <w:rPr>
                <w:bCs w:val="0"/>
                <w:sz w:val="24"/>
                <w:szCs w:val="24"/>
              </w:rPr>
              <w:t>.</w:t>
            </w:r>
            <w:r w:rsidR="0050222B">
              <w:rPr>
                <w:bCs w:val="0"/>
                <w:sz w:val="24"/>
                <w:szCs w:val="24"/>
              </w:rPr>
              <w:t>You can also reach the quotes search page by clicking on the Millipore Sigma logo in the upper left corne</w:t>
            </w:r>
            <w:r w:rsidR="00604A34">
              <w:rPr>
                <w:bCs w:val="0"/>
                <w:sz w:val="24"/>
                <w:szCs w:val="24"/>
              </w:rPr>
              <w:t xml:space="preserve">r.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BB022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6296C31" w14:textId="3352CD87" w:rsidR="0050222B" w:rsidRDefault="00604A34" w:rsidP="005B59EE">
            <w:pPr>
              <w:spacing w:before="60" w:after="60"/>
              <w:ind w:left="0" w:right="0"/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A8C31B7" wp14:editId="2C1C17B3">
                  <wp:extent cx="4375149" cy="1736759"/>
                  <wp:effectExtent l="19050" t="19050" r="26035" b="158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86" cy="1738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4B9A9C1" w14:textId="77731CEB" w:rsidR="00604A34" w:rsidRPr="00267957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2F1420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537FC50C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0</w:t>
            </w:r>
            <w:r>
              <w:rPr>
                <w:bCs w:val="0"/>
                <w:sz w:val="24"/>
                <w:szCs w:val="24"/>
              </w:rPr>
              <w:t>.</w:t>
            </w:r>
            <w:r w:rsidR="00604A34">
              <w:rPr>
                <w:bCs w:val="0"/>
                <w:sz w:val="24"/>
                <w:szCs w:val="24"/>
              </w:rPr>
              <w:t xml:space="preserve"> Click on the Quotes icon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E0E6B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791B481" w14:textId="549939F8" w:rsidR="00604A34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551D077" wp14:editId="08CA9F5C">
                  <wp:extent cx="4581525" cy="218476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199" cy="218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65B54E82" w:rsidR="00604A34" w:rsidRPr="00267957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9D391E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7CD899A9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.</w:t>
            </w:r>
            <w:r w:rsidR="00604A34">
              <w:rPr>
                <w:bCs w:val="0"/>
                <w:sz w:val="24"/>
                <w:szCs w:val="24"/>
              </w:rPr>
              <w:t xml:space="preserve"> Click on Quote Search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5D7C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CA1DB0D" w14:textId="084E83A0" w:rsidR="00604A34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71C4905" wp14:editId="232A31FD">
                  <wp:extent cx="4720590" cy="1637665"/>
                  <wp:effectExtent l="0" t="0" r="381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3D58397A" w:rsidR="00604A34" w:rsidRPr="00267957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AAA7F2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49436" w14:textId="3B2B2C93" w:rsidR="00255450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5A067E">
              <w:rPr>
                <w:bCs w:val="0"/>
                <w:sz w:val="24"/>
                <w:szCs w:val="24"/>
              </w:rPr>
              <w:t>2</w:t>
            </w:r>
            <w:r>
              <w:rPr>
                <w:bCs w:val="0"/>
                <w:sz w:val="24"/>
                <w:szCs w:val="24"/>
              </w:rPr>
              <w:t>.</w:t>
            </w:r>
            <w:r w:rsidR="00604A34">
              <w:rPr>
                <w:bCs w:val="0"/>
                <w:sz w:val="24"/>
                <w:szCs w:val="24"/>
              </w:rPr>
              <w:t xml:space="preserve"> Enter your quote number in the quote number field and then click the eyeglass icon to retrieve the quote.</w:t>
            </w:r>
          </w:p>
          <w:p w14:paraId="74927E2C" w14:textId="4C4C3EA9" w:rsidR="00604A34" w:rsidRPr="00267957" w:rsidRDefault="00604A34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found, the quote will appear below.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928BC" w14:textId="77777777" w:rsidR="00255450" w:rsidRDefault="00255450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45E5F31" w14:textId="7B35E457" w:rsidR="00604A34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D85DBB5" wp14:editId="734AA390">
                  <wp:extent cx="4720590" cy="1196340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1BD70EC5" w:rsidR="00604A34" w:rsidRPr="00267957" w:rsidRDefault="00604A3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5F0D0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4D277E15" w:rsidR="00EE0DD7" w:rsidRPr="00267957" w:rsidRDefault="000E558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3</w:t>
            </w:r>
            <w:r>
              <w:rPr>
                <w:bCs w:val="0"/>
                <w:sz w:val="24"/>
                <w:szCs w:val="24"/>
              </w:rPr>
              <w:t xml:space="preserve">. Click the quote to open it.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05F15" w14:textId="77777777" w:rsidR="00EE0DD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0F3C1C5" w14:textId="77777777" w:rsidR="000E5588" w:rsidRDefault="000E558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AE76D9F" wp14:editId="2989244B">
                  <wp:extent cx="2952750" cy="2166339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32" cy="217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58C82301" w:rsidR="000E5588" w:rsidRPr="00267957" w:rsidRDefault="000E558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6D030FC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0E464FF8" w:rsidR="00EE0DD7" w:rsidRPr="00267957" w:rsidRDefault="000E558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4</w:t>
            </w:r>
            <w:r>
              <w:rPr>
                <w:bCs w:val="0"/>
                <w:sz w:val="24"/>
                <w:szCs w:val="24"/>
              </w:rPr>
              <w:t>. Your quote will be displayed.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5BDC9" w14:textId="77777777" w:rsidR="00EE0DD7" w:rsidRDefault="00EE0DD7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D9C0BDF" w14:textId="77777777" w:rsidR="000E5588" w:rsidRDefault="000E558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3FC1B8B" wp14:editId="3C876B4E">
                  <wp:extent cx="4720590" cy="2439035"/>
                  <wp:effectExtent l="19050" t="19050" r="22860" b="184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439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76C98FBC" w:rsidR="000E5588" w:rsidRPr="00267957" w:rsidRDefault="000E558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79379C3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739A6B6E" w:rsidR="00EE0DD7" w:rsidRPr="00267957" w:rsidRDefault="000A3471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5A067E">
              <w:rPr>
                <w:bCs w:val="0"/>
                <w:sz w:val="24"/>
                <w:szCs w:val="24"/>
              </w:rPr>
              <w:t>5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="00B40424">
              <w:rPr>
                <w:bCs w:val="0"/>
                <w:sz w:val="24"/>
                <w:szCs w:val="24"/>
              </w:rPr>
              <w:t>Review and when ready</w:t>
            </w:r>
            <w:r w:rsidR="00124DA0">
              <w:rPr>
                <w:bCs w:val="0"/>
                <w:sz w:val="24"/>
                <w:szCs w:val="24"/>
              </w:rPr>
              <w:t>,</w:t>
            </w:r>
            <w:r w:rsidR="00B40424">
              <w:rPr>
                <w:bCs w:val="0"/>
                <w:sz w:val="24"/>
                <w:szCs w:val="24"/>
              </w:rPr>
              <w:t xml:space="preserve"> click Add to Cart to move the item(s) into your cart for checkout.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49BA8" w14:textId="77777777" w:rsidR="000A3471" w:rsidRDefault="000A347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A4DE478" w14:textId="77777777" w:rsidR="000A3471" w:rsidRDefault="000A347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B00D4CD" w14:textId="77777777" w:rsidR="000A3471" w:rsidRDefault="000A347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D78A88E" wp14:editId="2B1F5A19">
                  <wp:extent cx="1933575" cy="2550421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09" cy="256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C0990" w14:textId="09429954" w:rsidR="000A3471" w:rsidRPr="00267957" w:rsidRDefault="000A347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30810D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5415F" w14:textId="6D6E8306" w:rsidR="009C6C24" w:rsidRPr="00267957" w:rsidRDefault="00B40424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6</w:t>
            </w:r>
            <w:r>
              <w:rPr>
                <w:bCs w:val="0"/>
                <w:sz w:val="24"/>
                <w:szCs w:val="24"/>
              </w:rPr>
              <w:t>. Click Agree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173795" w14:textId="77777777" w:rsidR="00653365" w:rsidRDefault="00653365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B09D3D6" w14:textId="77777777" w:rsidR="00B40424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D83DCE6" wp14:editId="37CB28A0">
                  <wp:extent cx="4422774" cy="1256510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039" cy="126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990E3" w14:textId="4B6133B7" w:rsidR="00B40424" w:rsidRPr="00267957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2316EEF7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CEA48" w14:textId="117072B0" w:rsidR="00620CA3" w:rsidRPr="00267957" w:rsidRDefault="00B40424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5A067E">
              <w:rPr>
                <w:bCs w:val="0"/>
                <w:sz w:val="24"/>
                <w:szCs w:val="24"/>
              </w:rPr>
              <w:t>7</w:t>
            </w:r>
            <w:r>
              <w:rPr>
                <w:bCs w:val="0"/>
                <w:sz w:val="24"/>
                <w:szCs w:val="24"/>
              </w:rPr>
              <w:t>. Review the items and when ready, click the Transfer Cart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37792" w14:textId="77777777" w:rsidR="00A51408" w:rsidRDefault="00A5140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54D9760" w14:textId="77777777" w:rsidR="00B40424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4FEE61D" wp14:editId="63046708">
                  <wp:extent cx="4477794" cy="21431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47" cy="214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4ABFD" w14:textId="24FCE799" w:rsidR="00B40424" w:rsidRPr="00267957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266FA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CCCF4E" w14:textId="34ED84E9" w:rsidR="00470268" w:rsidRPr="00267957" w:rsidRDefault="00B40424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5A067E">
              <w:rPr>
                <w:bCs w:val="0"/>
                <w:sz w:val="24"/>
                <w:szCs w:val="24"/>
              </w:rPr>
              <w:t>8</w:t>
            </w:r>
            <w:r>
              <w:rPr>
                <w:bCs w:val="0"/>
                <w:sz w:val="24"/>
                <w:szCs w:val="24"/>
              </w:rPr>
              <w:t>. Your items will be brought into the Ariba cart for you to review.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97BC" w14:textId="77777777" w:rsidR="00A51408" w:rsidRDefault="00A5140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C7ADE24" w14:textId="20DC180C" w:rsidR="00B40424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6934ACB" wp14:editId="6AE5EAE0">
                  <wp:extent cx="4720590" cy="1420495"/>
                  <wp:effectExtent l="19050" t="19050" r="22860" b="273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20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9971C" w14:textId="433E6A25" w:rsidR="00B40424" w:rsidRPr="00267957" w:rsidRDefault="00B40424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02164FC6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D2DE6" w14:textId="6BFA8182" w:rsidR="00470268" w:rsidRPr="00267957" w:rsidRDefault="005A067E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19</w:t>
            </w:r>
            <w:r w:rsidR="005F254B">
              <w:rPr>
                <w:bCs w:val="0"/>
                <w:sz w:val="24"/>
                <w:szCs w:val="24"/>
              </w:rPr>
              <w:t>. You will have the option to edit your cart, continue shopping or check 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DEE57E" w14:textId="77777777" w:rsidR="00A51408" w:rsidRDefault="00A51408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89C96A3" w14:textId="3C119DE5" w:rsidR="00644B91" w:rsidRDefault="005F254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AE32E31" wp14:editId="486FB2AA">
                  <wp:extent cx="4720590" cy="1594485"/>
                  <wp:effectExtent l="0" t="0" r="381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6AE38" w14:textId="5B2AEB95" w:rsidR="00644B91" w:rsidRPr="00267957" w:rsidRDefault="00644B91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1F3F0CF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EFF9A" w14:textId="3AF980AE" w:rsidR="00470268" w:rsidRPr="00267957" w:rsidRDefault="005F254B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  <w:r w:rsidR="005A067E">
              <w:rPr>
                <w:bCs w:val="0"/>
                <w:sz w:val="24"/>
                <w:szCs w:val="24"/>
              </w:rPr>
              <w:t>0</w:t>
            </w:r>
            <w:r>
              <w:rPr>
                <w:bCs w:val="0"/>
                <w:sz w:val="24"/>
                <w:szCs w:val="24"/>
              </w:rPr>
              <w:t>. By clicking checkout you will be returned to SRM where you will finalize your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0CC55" w14:textId="77777777" w:rsidR="00506FBF" w:rsidRDefault="00506FBF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59648E3" w14:textId="77777777" w:rsidR="005F254B" w:rsidRDefault="005F254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045B991" wp14:editId="7DECB9A0">
                  <wp:extent cx="3180952" cy="2104762"/>
                  <wp:effectExtent l="0" t="0" r="63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952" cy="2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071EA" w14:textId="55DBA002" w:rsidR="005F254B" w:rsidRPr="00267957" w:rsidRDefault="005F254B" w:rsidP="005B59EE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30"/>
      <w:footerReference w:type="default" r:id="rId31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0DC32596" w:rsidR="004871EB" w:rsidRPr="00094104" w:rsidRDefault="00041D87" w:rsidP="004871EB">
    <w:pPr>
      <w:pStyle w:val="Header"/>
      <w:ind w:left="360"/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4104"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Load Quote-To-Shopping Cart for</w:t>
    </w:r>
    <w:r w:rsidR="00094104" w:rsidRPr="00094104"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Sigma-Aldrich</w:t>
    </w:r>
    <w:r w:rsidRPr="00094104"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1D87"/>
    <w:rsid w:val="0004652E"/>
    <w:rsid w:val="00052C84"/>
    <w:rsid w:val="00053336"/>
    <w:rsid w:val="000560B8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4104"/>
    <w:rsid w:val="00097412"/>
    <w:rsid w:val="00097EC8"/>
    <w:rsid w:val="000A0841"/>
    <w:rsid w:val="000A3471"/>
    <w:rsid w:val="000A4F1D"/>
    <w:rsid w:val="000A5D90"/>
    <w:rsid w:val="000B3393"/>
    <w:rsid w:val="000B34C7"/>
    <w:rsid w:val="000D24C7"/>
    <w:rsid w:val="000D4558"/>
    <w:rsid w:val="000E28BB"/>
    <w:rsid w:val="000E4354"/>
    <w:rsid w:val="000E5588"/>
    <w:rsid w:val="000F3B05"/>
    <w:rsid w:val="0010585A"/>
    <w:rsid w:val="00122269"/>
    <w:rsid w:val="00124434"/>
    <w:rsid w:val="00124DA0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106EF"/>
    <w:rsid w:val="00220CE7"/>
    <w:rsid w:val="00233F0C"/>
    <w:rsid w:val="002449DD"/>
    <w:rsid w:val="00245DE4"/>
    <w:rsid w:val="002478B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222B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67E"/>
    <w:rsid w:val="005A07F1"/>
    <w:rsid w:val="005A250C"/>
    <w:rsid w:val="005A6585"/>
    <w:rsid w:val="005A6C3A"/>
    <w:rsid w:val="005A7DFE"/>
    <w:rsid w:val="005B5372"/>
    <w:rsid w:val="005B5825"/>
    <w:rsid w:val="005B59EE"/>
    <w:rsid w:val="005B7889"/>
    <w:rsid w:val="005C27CC"/>
    <w:rsid w:val="005C308F"/>
    <w:rsid w:val="005C42FE"/>
    <w:rsid w:val="005C6E74"/>
    <w:rsid w:val="005C7F40"/>
    <w:rsid w:val="005E2294"/>
    <w:rsid w:val="005E2A15"/>
    <w:rsid w:val="005E4298"/>
    <w:rsid w:val="005F1ADA"/>
    <w:rsid w:val="005F254B"/>
    <w:rsid w:val="005F3C15"/>
    <w:rsid w:val="005F54D9"/>
    <w:rsid w:val="005F5D0C"/>
    <w:rsid w:val="00604A34"/>
    <w:rsid w:val="0060718C"/>
    <w:rsid w:val="0061579F"/>
    <w:rsid w:val="00620CA3"/>
    <w:rsid w:val="00640553"/>
    <w:rsid w:val="00640D74"/>
    <w:rsid w:val="00644B91"/>
    <w:rsid w:val="00651120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3950"/>
    <w:rsid w:val="00754778"/>
    <w:rsid w:val="007A11D8"/>
    <w:rsid w:val="007B134D"/>
    <w:rsid w:val="007B1D93"/>
    <w:rsid w:val="007B69D1"/>
    <w:rsid w:val="007B784A"/>
    <w:rsid w:val="007C1BE3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141BB"/>
    <w:rsid w:val="00920BCD"/>
    <w:rsid w:val="00923845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3BD8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1AB5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0424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03CC6"/>
    <w:rsid w:val="00C12F5D"/>
    <w:rsid w:val="00C14002"/>
    <w:rsid w:val="00C16177"/>
    <w:rsid w:val="00C20642"/>
    <w:rsid w:val="00C21849"/>
    <w:rsid w:val="00C234F3"/>
    <w:rsid w:val="00C25FD2"/>
    <w:rsid w:val="00C36BE8"/>
    <w:rsid w:val="00C6592F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45581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545E"/>
    <w:rsid w:val="00DC6A0F"/>
    <w:rsid w:val="00DD1C34"/>
    <w:rsid w:val="00DD4871"/>
    <w:rsid w:val="00DD5931"/>
    <w:rsid w:val="00DD6B13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F074AC"/>
    <w:rsid w:val="00F10565"/>
    <w:rsid w:val="00F129A8"/>
    <w:rsid w:val="00F13250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FEF-3C93-493F-ADEC-F77E5684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8</Pages>
  <Words>427</Words>
  <Characters>2237</Characters>
  <Application>Microsoft Office Word</Application>
  <DocSecurity>0</DocSecurity>
  <Lines>131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E.</cp:lastModifiedBy>
  <cp:revision>2</cp:revision>
  <cp:lastPrinted>2016-02-26T19:47:00Z</cp:lastPrinted>
  <dcterms:created xsi:type="dcterms:W3CDTF">2021-09-21T20:27:00Z</dcterms:created>
  <dcterms:modified xsi:type="dcterms:W3CDTF">2021-09-21T20:27:00Z</dcterms:modified>
</cp:coreProperties>
</file>