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943AE4" w:rsidRDefault="00477F42" w:rsidP="006455B7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4C3C93">
              <w:rPr>
                <w:bCs w:val="0"/>
                <w:sz w:val="24"/>
                <w:szCs w:val="24"/>
              </w:rPr>
              <w:t>Depending on the commodity and nature of the order, some Shopping Carts (and their resulting Purchase Orders) are setup in a “reverse” format. Reverse orders are essentially “lump-sum” or “blanket” orders</w:t>
            </w:r>
            <w:r w:rsidR="00AA7E08">
              <w:rPr>
                <w:bCs w:val="0"/>
                <w:sz w:val="24"/>
                <w:szCs w:val="24"/>
              </w:rPr>
              <w:t xml:space="preserve"> and </w:t>
            </w:r>
            <w:r w:rsidR="00B66000">
              <w:rPr>
                <w:bCs w:val="0"/>
                <w:sz w:val="24"/>
                <w:szCs w:val="24"/>
              </w:rPr>
              <w:t xml:space="preserve">are written with one-line </w:t>
            </w:r>
            <w:r w:rsidR="00AA7E08">
              <w:rPr>
                <w:bCs w:val="0"/>
                <w:sz w:val="24"/>
                <w:szCs w:val="24"/>
              </w:rPr>
              <w:t xml:space="preserve">for the </w:t>
            </w:r>
            <w:r w:rsidR="00D82BAC">
              <w:rPr>
                <w:bCs w:val="0"/>
                <w:sz w:val="24"/>
                <w:szCs w:val="24"/>
              </w:rPr>
              <w:t xml:space="preserve">total </w:t>
            </w:r>
            <w:r w:rsidR="00AA7E08">
              <w:rPr>
                <w:bCs w:val="0"/>
                <w:sz w:val="24"/>
                <w:szCs w:val="24"/>
              </w:rPr>
              <w:t>order dollar amount</w:t>
            </w:r>
            <w:r w:rsidR="004C3C93">
              <w:rPr>
                <w:bCs w:val="0"/>
                <w:sz w:val="24"/>
                <w:szCs w:val="24"/>
              </w:rPr>
              <w:t xml:space="preserve">. </w:t>
            </w:r>
            <w:r w:rsidR="00B30E39">
              <w:rPr>
                <w:bCs w:val="0"/>
                <w:sz w:val="24"/>
                <w:szCs w:val="24"/>
              </w:rPr>
              <w:t>In short, a reverse order is written for the dollar amount of the order rather than line item units.</w:t>
            </w:r>
          </w:p>
          <w:p w:rsidR="00B66000" w:rsidRPr="00B66000" w:rsidRDefault="00B66000" w:rsidP="006455B7">
            <w:pPr>
              <w:spacing w:before="60" w:after="60"/>
              <w:ind w:left="0"/>
              <w:rPr>
                <w:bCs w:val="0"/>
                <w:sz w:val="16"/>
                <w:szCs w:val="24"/>
              </w:rPr>
            </w:pPr>
          </w:p>
          <w:p w:rsidR="00B30E39" w:rsidRDefault="00B66000" w:rsidP="00D82BAC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Reverse orders are formatted with the total dollar amount of the order entered in the Quantity box of line 1. </w:t>
            </w:r>
            <w:r w:rsidR="00B30E39" w:rsidRPr="00B30E39">
              <w:rPr>
                <w:bCs w:val="0"/>
                <w:sz w:val="24"/>
                <w:szCs w:val="24"/>
              </w:rPr>
              <w:t>Goods confirmations and invoices, as they are due, are also posted in dollars.</w:t>
            </w:r>
            <w:r w:rsidR="007C0162">
              <w:rPr>
                <w:bCs w:val="0"/>
                <w:sz w:val="24"/>
                <w:szCs w:val="24"/>
              </w:rPr>
              <w:t xml:space="preserve"> </w:t>
            </w:r>
          </w:p>
          <w:p w:rsidR="00B30E39" w:rsidRDefault="00B30E39" w:rsidP="00D82BAC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B30E39" w:rsidRDefault="00B30E39" w:rsidP="00D82BAC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In order for business processes to flow and payments to release smoothly, Goods Confirmations for reverse orders must be created against the </w:t>
            </w:r>
            <w:r w:rsidRPr="00B30E39">
              <w:rPr>
                <w:bCs w:val="0"/>
                <w:i/>
                <w:sz w:val="24"/>
                <w:szCs w:val="24"/>
                <w:u w:val="single"/>
              </w:rPr>
              <w:t>dollar amount of the order</w:t>
            </w:r>
            <w:r>
              <w:rPr>
                <w:bCs w:val="0"/>
                <w:sz w:val="24"/>
                <w:szCs w:val="24"/>
              </w:rPr>
              <w:t xml:space="preserve"> rather than individual order units. </w:t>
            </w:r>
            <w:r w:rsidR="00CA7B96">
              <w:rPr>
                <w:bCs w:val="0"/>
                <w:sz w:val="24"/>
                <w:szCs w:val="24"/>
              </w:rPr>
              <w:t>If the PO, Goods Confirmation, and Invoice postings do not create a 3-way match, check payment will not release.</w:t>
            </w:r>
          </w:p>
          <w:p w:rsidR="00B30E39" w:rsidRDefault="00B30E39" w:rsidP="00D82BAC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B30E39" w:rsidRDefault="00B30E39" w:rsidP="00D82BAC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TIP: A reverse order can be identified if the PO quantity is in dollars and/or the unit of measure is LOT.</w:t>
            </w:r>
          </w:p>
          <w:p w:rsidR="00D82BAC" w:rsidRPr="00963768" w:rsidRDefault="00D82BAC" w:rsidP="00D82BAC">
            <w:pPr>
              <w:spacing w:before="60" w:after="60"/>
              <w:ind w:left="0"/>
              <w:rPr>
                <w:sz w:val="14"/>
                <w:szCs w:val="24"/>
              </w:rPr>
            </w:pP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D82BAC">
              <w:rPr>
                <w:b/>
                <w:bCs w:val="0"/>
                <w:sz w:val="24"/>
                <w:szCs w:val="24"/>
              </w:rPr>
              <w:t>Goods Confirmer</w:t>
            </w:r>
          </w:p>
        </w:tc>
        <w:tc>
          <w:tcPr>
            <w:tcW w:w="4887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7C0162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/>
      </w:tblPr>
      <w:tblGrid>
        <w:gridCol w:w="3060"/>
        <w:gridCol w:w="7380"/>
      </w:tblGrid>
      <w:tr w:rsidR="00F84720" w:rsidRPr="00AB3EA3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AB3EA3" w:rsidRDefault="007C0162" w:rsidP="0023619F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      </w:t>
            </w:r>
            <w:r w:rsidR="0023619F">
              <w:rPr>
                <w:b/>
                <w:bCs w:val="0"/>
                <w:sz w:val="24"/>
                <w:szCs w:val="24"/>
              </w:rPr>
              <w:t>Message</w:t>
            </w:r>
            <w:r>
              <w:rPr>
                <w:b/>
                <w:bCs w:val="0"/>
                <w:sz w:val="24"/>
                <w:szCs w:val="24"/>
              </w:rPr>
              <w:t xml:space="preserve">                     </w:t>
            </w:r>
            <w:r w:rsidR="0023619F">
              <w:rPr>
                <w:b/>
                <w:bCs w:val="0"/>
                <w:sz w:val="24"/>
                <w:szCs w:val="24"/>
              </w:rPr>
              <w:t xml:space="preserve"> Definition</w:t>
            </w:r>
          </w:p>
        </w:tc>
      </w:tr>
      <w:tr w:rsidR="00B02192" w:rsidRPr="00AB3EA3" w:rsidTr="000D66C5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2192" w:rsidRPr="00B307CE" w:rsidRDefault="003D4DD6" w:rsidP="00C72A29">
            <w:pPr>
              <w:spacing w:before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B307CE">
              <w:rPr>
                <w:b/>
                <w:bCs w:val="0"/>
                <w:sz w:val="24"/>
                <w:szCs w:val="24"/>
              </w:rPr>
              <w:t xml:space="preserve">Scenario I – Creating a Goods Confirmation for </w:t>
            </w:r>
            <w:r w:rsidR="00CA7B96" w:rsidRPr="00B307CE">
              <w:rPr>
                <w:b/>
                <w:bCs w:val="0"/>
                <w:sz w:val="24"/>
                <w:szCs w:val="24"/>
              </w:rPr>
              <w:t xml:space="preserve">confirming a </w:t>
            </w:r>
            <w:r w:rsidR="00CA7B96" w:rsidRPr="00B307CE">
              <w:rPr>
                <w:b/>
                <w:bCs w:val="0"/>
                <w:sz w:val="24"/>
                <w:szCs w:val="24"/>
                <w:u w:val="single"/>
              </w:rPr>
              <w:t>complete</w:t>
            </w:r>
            <w:r w:rsidRPr="00B307CE">
              <w:rPr>
                <w:b/>
                <w:bCs w:val="0"/>
                <w:sz w:val="24"/>
                <w:szCs w:val="24"/>
              </w:rPr>
              <w:t xml:space="preserve"> order in reverse format</w:t>
            </w:r>
          </w:p>
          <w:p w:rsidR="003D4DD6" w:rsidRDefault="003D4DD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CA7B96" w:rsidRDefault="00CA7B9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 confirm on the full amount of a reverse order, enter the full Confirm Quantity that matches the Outstanding Quantity.</w:t>
            </w:r>
          </w:p>
          <w:p w:rsidR="003D4DD6" w:rsidRDefault="003D4DD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3D4DD6" w:rsidRPr="005177A9" w:rsidRDefault="003D4DD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7B96" w:rsidRDefault="00CA7B96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996E66" w:rsidRDefault="00535664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4545965" cy="1984375"/>
                  <wp:effectExtent l="19050" t="19050" r="26035" b="158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1984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B96" w:rsidRPr="00506DF4" w:rsidRDefault="00CA7B96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02192" w:rsidRPr="00AB3EA3" w:rsidTr="000D66C5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2192" w:rsidRPr="00B307CE" w:rsidRDefault="003D4DD6" w:rsidP="00C72A29">
            <w:pPr>
              <w:spacing w:before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B307CE">
              <w:rPr>
                <w:b/>
                <w:bCs w:val="0"/>
                <w:sz w:val="24"/>
                <w:szCs w:val="24"/>
              </w:rPr>
              <w:lastRenderedPageBreak/>
              <w:t xml:space="preserve">Scenario II – Creating a Goods Confirmation for confirming a </w:t>
            </w:r>
            <w:r w:rsidRPr="00B307CE">
              <w:rPr>
                <w:b/>
                <w:bCs w:val="0"/>
                <w:sz w:val="24"/>
                <w:szCs w:val="24"/>
                <w:u w:val="single"/>
              </w:rPr>
              <w:t>partial</w:t>
            </w:r>
            <w:r w:rsidRPr="00B307CE">
              <w:rPr>
                <w:b/>
                <w:bCs w:val="0"/>
                <w:sz w:val="24"/>
                <w:szCs w:val="24"/>
              </w:rPr>
              <w:t xml:space="preserve"> order in reverse format</w:t>
            </w:r>
          </w:p>
          <w:p w:rsidR="003D4DD6" w:rsidRDefault="003D4DD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CA7B96" w:rsidRDefault="00CA7B96" w:rsidP="00CA7B96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 confirm on a partial amount of</w:t>
            </w:r>
            <w:r w:rsidR="00886CE3">
              <w:rPr>
                <w:bCs w:val="0"/>
                <w:sz w:val="24"/>
                <w:szCs w:val="24"/>
              </w:rPr>
              <w:t xml:space="preserve"> a reverse order, enter only the</w:t>
            </w:r>
            <w:r>
              <w:rPr>
                <w:bCs w:val="0"/>
                <w:sz w:val="24"/>
                <w:szCs w:val="24"/>
              </w:rPr>
              <w:t xml:space="preserve"> Confirm Quantity that m</w:t>
            </w:r>
            <w:r w:rsidR="00DD28F6">
              <w:rPr>
                <w:bCs w:val="0"/>
                <w:sz w:val="24"/>
                <w:szCs w:val="24"/>
              </w:rPr>
              <w:t>atches the Outstanding Quantity, i.e. the dollar amount of the partial invoice.</w:t>
            </w:r>
          </w:p>
          <w:p w:rsidR="003D4DD6" w:rsidRPr="005177A9" w:rsidRDefault="003D4DD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6E66" w:rsidRDefault="00996E66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CA7B96" w:rsidRPr="00506DF4" w:rsidRDefault="00535664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4545965" cy="1932305"/>
                  <wp:effectExtent l="19050" t="19050" r="26035" b="1079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193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CE3" w:rsidRPr="00AB3EA3" w:rsidTr="000D66C5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86CE3" w:rsidRPr="00337B18" w:rsidRDefault="00886CE3" w:rsidP="00C72A29">
            <w:pPr>
              <w:spacing w:before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337B18">
              <w:rPr>
                <w:b/>
                <w:bCs w:val="0"/>
                <w:sz w:val="24"/>
                <w:szCs w:val="24"/>
              </w:rPr>
              <w:lastRenderedPageBreak/>
              <w:t>How do I know the amount to receive on a partial quantity?</w:t>
            </w:r>
          </w:p>
          <w:p w:rsidR="00337B18" w:rsidRDefault="00337B18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B307CE" w:rsidRDefault="00B307CE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If a partial confirmation is required for a re</w:t>
            </w:r>
            <w:r w:rsidR="00DD28F6">
              <w:rPr>
                <w:bCs w:val="0"/>
                <w:sz w:val="24"/>
                <w:szCs w:val="24"/>
              </w:rPr>
              <w:t>verse order, it must match the associated invoice</w:t>
            </w:r>
            <w:r>
              <w:rPr>
                <w:bCs w:val="0"/>
                <w:sz w:val="24"/>
                <w:szCs w:val="24"/>
              </w:rPr>
              <w:t>.</w:t>
            </w:r>
            <w:r w:rsidR="00DD28F6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To find the invoice amount, click Display Purchase Order within Site Navigation.</w:t>
            </w:r>
          </w:p>
          <w:p w:rsidR="00B307CE" w:rsidRDefault="00B307CE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D28F6" w:rsidRDefault="00DD28F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B307CE" w:rsidRDefault="00B307CE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Purchase Order from the top menu bar and enter the PO number.</w:t>
            </w:r>
          </w:p>
          <w:p w:rsidR="00DD28F6" w:rsidRDefault="00DD28F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D28F6" w:rsidRDefault="00DD28F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D28F6" w:rsidRDefault="00DD28F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D28F6" w:rsidRDefault="00DD28F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D28F6" w:rsidRDefault="00DD28F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D28F6" w:rsidRDefault="00DD28F6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B307CE" w:rsidRDefault="00B307CE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The Purchase Order History tab in the bottom Details section will show all related invoices and the amount of each.</w:t>
            </w:r>
          </w:p>
          <w:p w:rsidR="00886CE3" w:rsidRDefault="00886CE3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7B18" w:rsidRDefault="00337B18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535664" w:rsidRDefault="00535664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2129790" cy="2295734"/>
                  <wp:effectExtent l="19050" t="19050" r="22860" b="28366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22" cy="22970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B18" w:rsidRDefault="00337B18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337B18" w:rsidRDefault="00535664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2390775" cy="2337629"/>
                  <wp:effectExtent l="19050" t="19050" r="9525" b="24571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33" cy="23356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B18" w:rsidRDefault="00337B18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535664" w:rsidRDefault="00337B18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 w:rsidRPr="00337B18"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4042093" cy="2143125"/>
                  <wp:effectExtent l="19050" t="19050" r="15557" b="2857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306" cy="2148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664" w:rsidRDefault="00535664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</w:tbl>
    <w:p w:rsidR="00FC396B" w:rsidRDefault="00FC396B" w:rsidP="00996E66">
      <w:pPr>
        <w:ind w:left="0"/>
      </w:pPr>
    </w:p>
    <w:sectPr w:rsidR="00FC396B" w:rsidSect="0014580F">
      <w:headerReference w:type="default" r:id="rId13"/>
      <w:footerReference w:type="default" r:id="rId14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2C" w:rsidRDefault="008A1C2C">
      <w:r>
        <w:separator/>
      </w:r>
    </w:p>
  </w:endnote>
  <w:endnote w:type="continuationSeparator" w:id="0">
    <w:p w:rsidR="008A1C2C" w:rsidRDefault="008A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2C" w:rsidRDefault="008A1C2C">
    <w:pPr>
      <w:pStyle w:val="Footer"/>
    </w:pPr>
    <w:r w:rsidRPr="004A7A58">
      <w:rPr>
        <w:rFonts w:ascii="Lucida Sans Unicode" w:hAnsi="Lucida Sans Unicode" w:cs="Lucida Sans Unicode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18pt;margin-top:-9.75pt;width:459pt;height:45.75pt;z-index:251661312" filled="f" stroked="f">
          <v:textbox style="mso-next-textbox:#_x0000_s2089">
            <w:txbxContent>
              <w:p w:rsidR="008A1C2C" w:rsidRPr="00934A71" w:rsidRDefault="008A1C2C" w:rsidP="00934A71">
                <w:pPr>
                  <w:rPr>
                    <w:szCs w:val="18"/>
                  </w:rPr>
                </w:pPr>
              </w:p>
            </w:txbxContent>
          </v:textbox>
          <w10:wrap type="square"/>
        </v:shape>
      </w:pict>
    </w:r>
    <w:r w:rsidRPr="004A7A58">
      <w:rPr>
        <w:rFonts w:ascii="Lucida Sans Unicode" w:hAnsi="Lucida Sans Unicode" w:cs="Lucida Sans Unicode"/>
        <w:noProof/>
        <w:lang w:bidi="ar-SA"/>
      </w:rPr>
      <w:pict>
        <v:shape id="_x0000_s2085" style="position:absolute;left:0;text-align:left;margin-left:7in;margin-top:-10.5pt;width:34.95pt;height:47.5pt;rotation:180;z-index:251659264;v-text-anchor:middle" coordsize="623,889" o:regroupid="2" o:userdrawn="t" path="m623,l,,,889e" filled="f" fillcolor="#0c9" strokecolor="#36f" strokeweight="2.25pt">
          <v:path arrowok="t"/>
        </v:shape>
      </w:pict>
    </w:r>
    <w:r w:rsidRPr="004A7A58">
      <w:rPr>
        <w:rFonts w:ascii="Lucida Sans Unicode" w:hAnsi="Lucida Sans Unicode" w:cs="Lucida Sans Unicode"/>
        <w:noProof/>
        <w:lang w:bidi="ar-SA"/>
      </w:rPr>
      <w:pict>
        <v:shape id="_x0000_s2084" style="position:absolute;left:0;text-align:left;margin-left:508.75pt;margin-top:-7.1pt;width:24.8pt;height:38.5pt;rotation:180;z-index:251658240;v-text-anchor:middle" coordsize="623,889" o:regroupid="2" o:userdrawn="t" path="m623,l,,,889e" filled="f" fillcolor="#0c9" strokecolor="#009" strokeweight="3pt">
          <v:path arrowok="t"/>
        </v:shape>
      </w:pict>
    </w:r>
    <w:r w:rsidRPr="004A7A58">
      <w:rPr>
        <w:rFonts w:ascii="Lucida Sans Unicode" w:hAnsi="Lucida Sans Unicode" w:cs="Lucida Sans Unicode"/>
        <w:noProof/>
        <w:lang w:bidi="ar-SA"/>
      </w:rPr>
      <w:pict>
        <v:shape id="_x0000_s2086" type="#_x0000_t202" style="position:absolute;left:0;text-align:left;margin-left:513pt;margin-top:738.35pt;width:18pt;height:27pt;z-index:251657216;mso-position-vertical-relative:page" stroked="f">
          <v:textbox>
            <w:txbxContent>
              <w:p w:rsidR="008A1C2C" w:rsidRPr="002F1110" w:rsidRDefault="008A1C2C">
                <w:pPr>
                  <w:ind w:left="0"/>
                  <w:rPr>
                    <w:sz w:val="24"/>
                    <w:szCs w:val="24"/>
                  </w:rPr>
                </w:pPr>
                <w:r w:rsidRPr="002F1110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2F1110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2F1110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8D345F">
                  <w:rPr>
                    <w:rStyle w:val="PageNumber"/>
                    <w:noProof/>
                    <w:sz w:val="24"/>
                    <w:szCs w:val="24"/>
                  </w:rPr>
                  <w:t>3</w:t>
                </w:r>
                <w:r w:rsidRPr="002F1110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2C" w:rsidRDefault="008A1C2C">
      <w:r>
        <w:separator/>
      </w:r>
    </w:p>
  </w:footnote>
  <w:footnote w:type="continuationSeparator" w:id="0">
    <w:p w:rsidR="008A1C2C" w:rsidRDefault="008A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2C" w:rsidRPr="006D5BC0" w:rsidRDefault="008A1C2C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w:pict>
        <v:shape id="_x0000_s2072" style="position:absolute;left:0;text-align:left;margin-left:1.05pt;margin-top:-8.75pt;width:34.95pt;height:63.1pt;rotation:360;z-index:251655168;v-text-anchor:middle" coordsize="623,889" o:regroupid="1" o:userdrawn="t" path="m623,l,,,889e" filled="f" fillcolor="#0c9" strokecolor="#36f" strokeweight="2.25pt">
          <v:path arrowok="t"/>
        </v:shape>
      </w:pict>
    </w:r>
    <w:r>
      <w:rPr>
        <w:rFonts w:cs="Lucida Sans Unicode"/>
        <w:noProof/>
        <w:color w:val="6165FD"/>
        <w:szCs w:val="28"/>
        <w:lang w:bidi="ar-SA"/>
      </w:rPr>
      <w:pict>
        <v:shape id="_x0000_s2071" style="position:absolute;left:0;text-align:left;margin-left:6.45pt;margin-top:-4.3pt;width:24.8pt;height:53.85pt;rotation:360;z-index:251654144;v-text-anchor:middle" coordsize="623,889" o:regroupid="1" o:userdrawn="t" path="m623,l,,,889e" filled="f" fillcolor="#0c9" strokecolor="#009" strokeweight="3pt">
          <v:path arrowok="t"/>
        </v:shape>
      </w:pict>
    </w:r>
    <w:r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 </w:t>
    </w:r>
    <w:r>
      <w:rPr>
        <w:rFonts w:cs="Lucida Sans Unicode"/>
        <w:b/>
        <w:bCs w:val="0"/>
        <w:i/>
        <w:iCs/>
        <w:color w:val="8585FF"/>
        <w:sz w:val="28"/>
        <w:szCs w:val="28"/>
      </w:rPr>
      <w:t>SRM</w:t>
    </w:r>
    <w:r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8A1C2C" w:rsidRDefault="008A1C2C" w:rsidP="00D82BAC">
    <w:pPr>
      <w:pStyle w:val="Header"/>
      <w:spacing w:before="0"/>
      <w:rPr>
        <w:rFonts w:cs="Lucida Sans Unicode"/>
        <w:b/>
        <w:bCs w:val="0"/>
        <w:shadow/>
        <w:noProof/>
        <w:color w:val="000099"/>
        <w:sz w:val="36"/>
        <w:szCs w:val="40"/>
        <w:lang w:bidi="ar-SA"/>
      </w:rPr>
    </w:pPr>
    <w:r>
      <w:rPr>
        <w:rFonts w:cs="Lucida Sans Unicode"/>
        <w:b/>
        <w:bCs w:val="0"/>
        <w:shadow/>
        <w:noProof/>
        <w:color w:val="000099"/>
        <w:sz w:val="36"/>
        <w:szCs w:val="40"/>
        <w:lang w:bidi="ar-SA"/>
      </w:rPr>
      <w:t xml:space="preserve"> Creating Goods Confirmations</w:t>
    </w:r>
    <w:r w:rsidRPr="00D82BAC">
      <w:rPr>
        <w:rFonts w:cs="Lucida Sans Unicode"/>
        <w:b/>
        <w:bCs w:val="0"/>
        <w:shadow/>
        <w:noProof/>
        <w:color w:val="000099"/>
        <w:sz w:val="36"/>
        <w:szCs w:val="40"/>
        <w:lang w:bidi="ar-SA"/>
      </w:rPr>
      <w:t xml:space="preserve"> against Reverse</w:t>
    </w:r>
    <w:r>
      <w:rPr>
        <w:rFonts w:cs="Lucida Sans Unicode"/>
        <w:b/>
        <w:bCs w:val="0"/>
        <w:shadow/>
        <w:noProof/>
        <w:color w:val="000099"/>
        <w:sz w:val="36"/>
        <w:szCs w:val="40"/>
        <w:lang w:bidi="ar-SA"/>
      </w:rPr>
      <w:t xml:space="preserve"> </w:t>
    </w:r>
  </w:p>
  <w:p w:rsidR="008A1C2C" w:rsidRPr="00D82BAC" w:rsidRDefault="008A1C2C" w:rsidP="00D82BAC">
    <w:pPr>
      <w:pStyle w:val="Header"/>
      <w:spacing w:before="0"/>
      <w:rPr>
        <w:rFonts w:cs="Lucida Sans Unicode"/>
        <w:noProof/>
        <w:color w:val="000099"/>
        <w:sz w:val="36"/>
        <w:szCs w:val="40"/>
        <w:lang w:bidi="ar-SA"/>
      </w:rPr>
    </w:pPr>
    <w:r>
      <w:rPr>
        <w:rFonts w:cs="Lucida Sans Unicode"/>
        <w:b/>
        <w:bCs w:val="0"/>
        <w:shadow/>
        <w:noProof/>
        <w:color w:val="000099"/>
        <w:sz w:val="36"/>
        <w:szCs w:val="40"/>
        <w:lang w:bidi="ar-SA"/>
      </w:rPr>
      <w:t xml:space="preserve"> </w:t>
    </w:r>
    <w:r w:rsidRPr="00D82BAC">
      <w:rPr>
        <w:rFonts w:cs="Lucida Sans Unicode"/>
        <w:b/>
        <w:bCs w:val="0"/>
        <w:shadow/>
        <w:noProof/>
        <w:color w:val="000099"/>
        <w:sz w:val="36"/>
        <w:szCs w:val="40"/>
        <w:lang w:bidi="ar-SA"/>
      </w:rPr>
      <w:t>Orders</w:t>
    </w:r>
  </w:p>
  <w:p w:rsidR="008A1C2C" w:rsidRPr="00575A67" w:rsidRDefault="008A1C2C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w:pict>
        <v:line id="_x0000_s2073" style="position:absolute;left:0;text-align:left;z-index:251656192;v-text-anchor:middle" from="16.7pt,1.45pt" to="537.45pt,1.45pt" strokecolor="#009" strokeweight="2.25pt">
          <v:shadow opacity=".5" offset="6pt,6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91">
      <o:colormru v:ext="edit" colors="#009"/>
      <o:colormenu v:ext="edit" strokecolor="#36f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2246E"/>
    <w:rsid w:val="000019AF"/>
    <w:rsid w:val="000121E7"/>
    <w:rsid w:val="0001472F"/>
    <w:rsid w:val="0001573A"/>
    <w:rsid w:val="000215AA"/>
    <w:rsid w:val="000272FE"/>
    <w:rsid w:val="000325D2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D4558"/>
    <w:rsid w:val="000D66C5"/>
    <w:rsid w:val="000E4354"/>
    <w:rsid w:val="000F3B05"/>
    <w:rsid w:val="0010585A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1C44"/>
    <w:rsid w:val="001B000C"/>
    <w:rsid w:val="001B1509"/>
    <w:rsid w:val="001B2A08"/>
    <w:rsid w:val="001B36AF"/>
    <w:rsid w:val="001C01D7"/>
    <w:rsid w:val="001C0B6D"/>
    <w:rsid w:val="001C0F88"/>
    <w:rsid w:val="001C57C8"/>
    <w:rsid w:val="001E4349"/>
    <w:rsid w:val="001E5EBA"/>
    <w:rsid w:val="001E7601"/>
    <w:rsid w:val="001F77DD"/>
    <w:rsid w:val="00202E19"/>
    <w:rsid w:val="00206ECE"/>
    <w:rsid w:val="002324F0"/>
    <w:rsid w:val="0023619F"/>
    <w:rsid w:val="00245DE4"/>
    <w:rsid w:val="002478B7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E0900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16F3"/>
    <w:rsid w:val="003353FB"/>
    <w:rsid w:val="003356B5"/>
    <w:rsid w:val="00337B18"/>
    <w:rsid w:val="00343149"/>
    <w:rsid w:val="0034699F"/>
    <w:rsid w:val="00352083"/>
    <w:rsid w:val="00360FC1"/>
    <w:rsid w:val="003630B9"/>
    <w:rsid w:val="0036487C"/>
    <w:rsid w:val="003778AF"/>
    <w:rsid w:val="003A5A0D"/>
    <w:rsid w:val="003B4C2A"/>
    <w:rsid w:val="003B5A2B"/>
    <w:rsid w:val="003C3207"/>
    <w:rsid w:val="003D0266"/>
    <w:rsid w:val="003D4DD6"/>
    <w:rsid w:val="003D7A2B"/>
    <w:rsid w:val="003E571F"/>
    <w:rsid w:val="003F4A9F"/>
    <w:rsid w:val="003F7F5D"/>
    <w:rsid w:val="00423109"/>
    <w:rsid w:val="00452C16"/>
    <w:rsid w:val="0045608D"/>
    <w:rsid w:val="004673E3"/>
    <w:rsid w:val="00477F42"/>
    <w:rsid w:val="004806A3"/>
    <w:rsid w:val="004A6F33"/>
    <w:rsid w:val="004A7A58"/>
    <w:rsid w:val="004B4DBF"/>
    <w:rsid w:val="004C0136"/>
    <w:rsid w:val="004C0EC7"/>
    <w:rsid w:val="004C3757"/>
    <w:rsid w:val="004C3C93"/>
    <w:rsid w:val="004E6C3B"/>
    <w:rsid w:val="00506DF4"/>
    <w:rsid w:val="005177A9"/>
    <w:rsid w:val="00530AB4"/>
    <w:rsid w:val="00533774"/>
    <w:rsid w:val="0053566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1579F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700B65"/>
    <w:rsid w:val="00713E7B"/>
    <w:rsid w:val="0071607C"/>
    <w:rsid w:val="00720D29"/>
    <w:rsid w:val="00724977"/>
    <w:rsid w:val="00726A6C"/>
    <w:rsid w:val="00726CA6"/>
    <w:rsid w:val="00734A7E"/>
    <w:rsid w:val="007355F0"/>
    <w:rsid w:val="007368A2"/>
    <w:rsid w:val="00744DF6"/>
    <w:rsid w:val="00752A31"/>
    <w:rsid w:val="00777E46"/>
    <w:rsid w:val="007864A1"/>
    <w:rsid w:val="007A11D8"/>
    <w:rsid w:val="007B134D"/>
    <w:rsid w:val="007B1D93"/>
    <w:rsid w:val="007B69D1"/>
    <w:rsid w:val="007B784A"/>
    <w:rsid w:val="007C0162"/>
    <w:rsid w:val="007C4A91"/>
    <w:rsid w:val="007D7366"/>
    <w:rsid w:val="007E1A49"/>
    <w:rsid w:val="007E6F9F"/>
    <w:rsid w:val="007F19E0"/>
    <w:rsid w:val="007F5D47"/>
    <w:rsid w:val="008013FC"/>
    <w:rsid w:val="008152D7"/>
    <w:rsid w:val="008156B2"/>
    <w:rsid w:val="00824B16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86CE3"/>
    <w:rsid w:val="00895832"/>
    <w:rsid w:val="00896C2B"/>
    <w:rsid w:val="00897CF6"/>
    <w:rsid w:val="008A11CD"/>
    <w:rsid w:val="008A1C2C"/>
    <w:rsid w:val="008A4C20"/>
    <w:rsid w:val="008B40C4"/>
    <w:rsid w:val="008C12BE"/>
    <w:rsid w:val="008C12EF"/>
    <w:rsid w:val="008C7470"/>
    <w:rsid w:val="008D345F"/>
    <w:rsid w:val="008D47DF"/>
    <w:rsid w:val="008E4FB6"/>
    <w:rsid w:val="00902C38"/>
    <w:rsid w:val="00907F5A"/>
    <w:rsid w:val="00923BF3"/>
    <w:rsid w:val="00934A71"/>
    <w:rsid w:val="009373EA"/>
    <w:rsid w:val="00937714"/>
    <w:rsid w:val="00941B55"/>
    <w:rsid w:val="00943AE4"/>
    <w:rsid w:val="009466FB"/>
    <w:rsid w:val="00963768"/>
    <w:rsid w:val="00965A9B"/>
    <w:rsid w:val="00972438"/>
    <w:rsid w:val="00977D03"/>
    <w:rsid w:val="00985A3B"/>
    <w:rsid w:val="009877C1"/>
    <w:rsid w:val="00994BA6"/>
    <w:rsid w:val="00994BE8"/>
    <w:rsid w:val="00996E66"/>
    <w:rsid w:val="009B380A"/>
    <w:rsid w:val="009B5F40"/>
    <w:rsid w:val="009B6967"/>
    <w:rsid w:val="009C1424"/>
    <w:rsid w:val="009C493A"/>
    <w:rsid w:val="009C639B"/>
    <w:rsid w:val="009C7BE5"/>
    <w:rsid w:val="009D33AD"/>
    <w:rsid w:val="009E5F58"/>
    <w:rsid w:val="009F2F86"/>
    <w:rsid w:val="00A0589B"/>
    <w:rsid w:val="00A13105"/>
    <w:rsid w:val="00A13CEF"/>
    <w:rsid w:val="00A1699C"/>
    <w:rsid w:val="00A34287"/>
    <w:rsid w:val="00A51EEA"/>
    <w:rsid w:val="00A535D5"/>
    <w:rsid w:val="00A55EE2"/>
    <w:rsid w:val="00A571E9"/>
    <w:rsid w:val="00A611B8"/>
    <w:rsid w:val="00AA6ECA"/>
    <w:rsid w:val="00AA7E08"/>
    <w:rsid w:val="00AB3EA3"/>
    <w:rsid w:val="00AC46CE"/>
    <w:rsid w:val="00AC7E73"/>
    <w:rsid w:val="00B01DBD"/>
    <w:rsid w:val="00B02192"/>
    <w:rsid w:val="00B05980"/>
    <w:rsid w:val="00B065BF"/>
    <w:rsid w:val="00B1237A"/>
    <w:rsid w:val="00B14782"/>
    <w:rsid w:val="00B2653A"/>
    <w:rsid w:val="00B307CE"/>
    <w:rsid w:val="00B30E39"/>
    <w:rsid w:val="00B51DD6"/>
    <w:rsid w:val="00B56DA3"/>
    <w:rsid w:val="00B6408F"/>
    <w:rsid w:val="00B640D6"/>
    <w:rsid w:val="00B66000"/>
    <w:rsid w:val="00B66D1E"/>
    <w:rsid w:val="00B81152"/>
    <w:rsid w:val="00B84D0F"/>
    <w:rsid w:val="00B9540A"/>
    <w:rsid w:val="00B95F55"/>
    <w:rsid w:val="00BA66D7"/>
    <w:rsid w:val="00BB4177"/>
    <w:rsid w:val="00BC191A"/>
    <w:rsid w:val="00BC2020"/>
    <w:rsid w:val="00BD34BF"/>
    <w:rsid w:val="00BE18FF"/>
    <w:rsid w:val="00BE36C8"/>
    <w:rsid w:val="00BF1679"/>
    <w:rsid w:val="00BF6312"/>
    <w:rsid w:val="00BF6FDC"/>
    <w:rsid w:val="00C12F5D"/>
    <w:rsid w:val="00C14002"/>
    <w:rsid w:val="00C16177"/>
    <w:rsid w:val="00C20642"/>
    <w:rsid w:val="00C234F3"/>
    <w:rsid w:val="00C36BE8"/>
    <w:rsid w:val="00C5032E"/>
    <w:rsid w:val="00C71EE2"/>
    <w:rsid w:val="00C72A29"/>
    <w:rsid w:val="00C72DE0"/>
    <w:rsid w:val="00C84A7E"/>
    <w:rsid w:val="00CA7B96"/>
    <w:rsid w:val="00CC37CE"/>
    <w:rsid w:val="00CC48C4"/>
    <w:rsid w:val="00CC4DF0"/>
    <w:rsid w:val="00CC5EEF"/>
    <w:rsid w:val="00CD1EBC"/>
    <w:rsid w:val="00CD245F"/>
    <w:rsid w:val="00CE064D"/>
    <w:rsid w:val="00CE2014"/>
    <w:rsid w:val="00CF08A6"/>
    <w:rsid w:val="00CF14FB"/>
    <w:rsid w:val="00D02F6B"/>
    <w:rsid w:val="00D05C95"/>
    <w:rsid w:val="00D079FB"/>
    <w:rsid w:val="00D20383"/>
    <w:rsid w:val="00D27492"/>
    <w:rsid w:val="00D3023F"/>
    <w:rsid w:val="00D5440F"/>
    <w:rsid w:val="00D64002"/>
    <w:rsid w:val="00D6587A"/>
    <w:rsid w:val="00D72A95"/>
    <w:rsid w:val="00D82BAC"/>
    <w:rsid w:val="00D85B4A"/>
    <w:rsid w:val="00D930DE"/>
    <w:rsid w:val="00D9527B"/>
    <w:rsid w:val="00DA0095"/>
    <w:rsid w:val="00DB0424"/>
    <w:rsid w:val="00DB41C9"/>
    <w:rsid w:val="00DC16BD"/>
    <w:rsid w:val="00DC4475"/>
    <w:rsid w:val="00DC49DD"/>
    <w:rsid w:val="00DC545E"/>
    <w:rsid w:val="00DD1C34"/>
    <w:rsid w:val="00DD28F6"/>
    <w:rsid w:val="00DE3FB8"/>
    <w:rsid w:val="00E011C8"/>
    <w:rsid w:val="00E118E9"/>
    <w:rsid w:val="00E132D6"/>
    <w:rsid w:val="00E16277"/>
    <w:rsid w:val="00E17AF9"/>
    <w:rsid w:val="00E2246E"/>
    <w:rsid w:val="00E26160"/>
    <w:rsid w:val="00E34E04"/>
    <w:rsid w:val="00E372EE"/>
    <w:rsid w:val="00E633C5"/>
    <w:rsid w:val="00E664E9"/>
    <w:rsid w:val="00E73B86"/>
    <w:rsid w:val="00E76268"/>
    <w:rsid w:val="00E81237"/>
    <w:rsid w:val="00E84D93"/>
    <w:rsid w:val="00E86578"/>
    <w:rsid w:val="00E916DF"/>
    <w:rsid w:val="00E93791"/>
    <w:rsid w:val="00EA0F45"/>
    <w:rsid w:val="00EA2BD1"/>
    <w:rsid w:val="00EA7CD3"/>
    <w:rsid w:val="00EB020D"/>
    <w:rsid w:val="00EC3D78"/>
    <w:rsid w:val="00EC6309"/>
    <w:rsid w:val="00EE0B80"/>
    <w:rsid w:val="00EF1060"/>
    <w:rsid w:val="00EF1D62"/>
    <w:rsid w:val="00EF2A69"/>
    <w:rsid w:val="00F074AC"/>
    <w:rsid w:val="00F10565"/>
    <w:rsid w:val="00F129A8"/>
    <w:rsid w:val="00F24248"/>
    <w:rsid w:val="00F3035B"/>
    <w:rsid w:val="00F533BA"/>
    <w:rsid w:val="00F646A3"/>
    <w:rsid w:val="00F70284"/>
    <w:rsid w:val="00F84720"/>
    <w:rsid w:val="00F858F5"/>
    <w:rsid w:val="00F870B7"/>
    <w:rsid w:val="00F91220"/>
    <w:rsid w:val="00F93C67"/>
    <w:rsid w:val="00FB6C3C"/>
    <w:rsid w:val="00FB74CA"/>
    <w:rsid w:val="00FC396B"/>
    <w:rsid w:val="00FC5E0D"/>
    <w:rsid w:val="00FE11B7"/>
    <w:rsid w:val="00FE3372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65D2-DE30-4F93-ABA2-293960D4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1</TotalTime>
  <Pages>3</Pages>
  <Words>324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clocke</cp:lastModifiedBy>
  <cp:revision>3</cp:revision>
  <cp:lastPrinted>2012-02-28T18:52:00Z</cp:lastPrinted>
  <dcterms:created xsi:type="dcterms:W3CDTF">2012-02-28T18:52:00Z</dcterms:created>
  <dcterms:modified xsi:type="dcterms:W3CDTF">2012-02-28T18:53:00Z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