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53"/>
        <w:gridCol w:w="4887"/>
      </w:tblGrid>
      <w:tr w:rsidR="00EB360D" w:rsidRPr="00AB3EA3" w:rsidTr="00615DC3">
        <w:tc>
          <w:tcPr>
            <w:tcW w:w="10440" w:type="dxa"/>
            <w:gridSpan w:val="2"/>
            <w:vAlign w:val="center"/>
          </w:tcPr>
          <w:p w:rsidR="00EB360D" w:rsidRPr="00197453" w:rsidRDefault="00EB360D" w:rsidP="00227074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bCs w:val="0"/>
                <w:sz w:val="24"/>
                <w:szCs w:val="24"/>
              </w:rPr>
              <w:t xml:space="preserve">Documents </w:t>
            </w:r>
            <w:proofErr w:type="gramStart"/>
            <w:r>
              <w:rPr>
                <w:bCs w:val="0"/>
                <w:sz w:val="24"/>
                <w:szCs w:val="24"/>
              </w:rPr>
              <w:t>can be attached</w:t>
            </w:r>
            <w:proofErr w:type="gramEnd"/>
            <w:r>
              <w:rPr>
                <w:bCs w:val="0"/>
                <w:sz w:val="24"/>
                <w:szCs w:val="24"/>
              </w:rPr>
              <w:t xml:space="preserve"> to</w:t>
            </w:r>
            <w:r w:rsidR="00CC5723">
              <w:rPr>
                <w:bCs w:val="0"/>
                <w:sz w:val="24"/>
                <w:szCs w:val="24"/>
              </w:rPr>
              <w:t xml:space="preserve"> SRM</w:t>
            </w:r>
            <w:r>
              <w:rPr>
                <w:bCs w:val="0"/>
                <w:sz w:val="24"/>
                <w:szCs w:val="24"/>
              </w:rPr>
              <w:t xml:space="preserve"> Goods Confirmations (used within the academic campus) and SAP Goods Receipts (used within hospital and facilities a</w:t>
            </w:r>
            <w:r w:rsidR="00227074">
              <w:rPr>
                <w:bCs w:val="0"/>
                <w:sz w:val="24"/>
                <w:szCs w:val="24"/>
              </w:rPr>
              <w:t>reas). This Quick Reference Card</w:t>
            </w:r>
            <w:r>
              <w:rPr>
                <w:bCs w:val="0"/>
                <w:sz w:val="24"/>
                <w:szCs w:val="24"/>
              </w:rPr>
              <w:t xml:space="preserve"> shows how to attach packing slips, for instance, to either type of transaction.</w:t>
            </w:r>
          </w:p>
        </w:tc>
      </w:tr>
      <w:tr w:rsidR="00EB360D" w:rsidRPr="00AB3EA3" w:rsidTr="00615DC3">
        <w:tc>
          <w:tcPr>
            <w:tcW w:w="5553" w:type="dxa"/>
            <w:vAlign w:val="center"/>
          </w:tcPr>
          <w:p w:rsidR="00EB360D" w:rsidRPr="00197453" w:rsidRDefault="00EB360D" w:rsidP="00615DC3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>
              <w:rPr>
                <w:bCs w:val="0"/>
                <w:sz w:val="24"/>
                <w:szCs w:val="24"/>
              </w:rPr>
              <w:t>SRM Goods Confirmer / SAP Goods Receiver</w:t>
            </w:r>
          </w:p>
        </w:tc>
        <w:tc>
          <w:tcPr>
            <w:tcW w:w="4887" w:type="dxa"/>
            <w:vAlign w:val="center"/>
          </w:tcPr>
          <w:p w:rsidR="00EB360D" w:rsidRPr="00197453" w:rsidRDefault="00EB360D" w:rsidP="00615DC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Pr="00197453">
              <w:rPr>
                <w:bCs w:val="0"/>
                <w:sz w:val="24"/>
                <w:szCs w:val="24"/>
              </w:rPr>
              <w:t xml:space="preserve"> As needed</w:t>
            </w:r>
          </w:p>
        </w:tc>
      </w:tr>
    </w:tbl>
    <w:p w:rsidR="00FC396B" w:rsidRDefault="00FC396B" w:rsidP="00774FEA">
      <w:pPr>
        <w:ind w:left="0"/>
      </w:pPr>
    </w:p>
    <w:tbl>
      <w:tblPr>
        <w:tblW w:w="10440" w:type="dxa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3780"/>
        <w:gridCol w:w="6660"/>
      </w:tblGrid>
      <w:tr w:rsidR="00EB360D" w:rsidRPr="00AB3EA3" w:rsidTr="00EB360D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360D" w:rsidRPr="00EB360D" w:rsidRDefault="00EB360D" w:rsidP="00615DC3">
            <w:pPr>
              <w:spacing w:before="60"/>
              <w:ind w:left="0" w:right="0"/>
              <w:rPr>
                <w:b/>
                <w:bCs w:val="0"/>
                <w:sz w:val="24"/>
                <w:szCs w:val="24"/>
                <w:u w:val="single"/>
              </w:rPr>
            </w:pPr>
            <w:r w:rsidRPr="00EB360D">
              <w:rPr>
                <w:b/>
                <w:bCs w:val="0"/>
                <w:sz w:val="24"/>
                <w:szCs w:val="24"/>
                <w:u w:val="single"/>
              </w:rPr>
              <w:t>SRM Goods Confirmations</w:t>
            </w:r>
            <w:r w:rsidR="0009773A">
              <w:rPr>
                <w:b/>
                <w:bCs w:val="0"/>
                <w:sz w:val="24"/>
                <w:szCs w:val="24"/>
                <w:u w:val="single"/>
              </w:rPr>
              <w:br/>
            </w:r>
            <w:r w:rsidR="0009773A" w:rsidRPr="0009773A">
              <w:rPr>
                <w:bCs w:val="0"/>
                <w:sz w:val="24"/>
                <w:szCs w:val="24"/>
                <w:u w:val="single"/>
              </w:rPr>
              <w:t>(Academic Campus)</w:t>
            </w:r>
          </w:p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 Scan or convert packing slip or other document to electronic file form and save to</w:t>
            </w:r>
            <w:r w:rsidR="00767748">
              <w:rPr>
                <w:bCs w:val="0"/>
                <w:sz w:val="24"/>
                <w:szCs w:val="24"/>
              </w:rPr>
              <w:t xml:space="preserve"> your desktop or other location</w:t>
            </w:r>
          </w:p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EB360D" w:rsidRPr="005177A9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EB360D" w:rsidRDefault="00EB360D" w:rsidP="00615DC3">
            <w:pPr>
              <w:spacing w:before="60"/>
              <w:ind w:left="0" w:right="0"/>
              <w:rPr>
                <w:noProof/>
                <w:lang w:bidi="ar-SA"/>
              </w:rPr>
            </w:pPr>
          </w:p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2CF973B" wp14:editId="20E9A573">
                  <wp:extent cx="3697502" cy="2497789"/>
                  <wp:effectExtent l="19050" t="19050" r="17780" b="171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213" cy="25002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60D" w:rsidRPr="005177A9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EB360D" w:rsidRPr="00AB3EA3" w:rsidTr="00781032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360D" w:rsidRDefault="00781032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2. Begin the Goods Confirmation as normal. Click Notes and Attachments tab.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81032" w:rsidRDefault="00781032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3C59EAB" wp14:editId="5F64EBB9">
                  <wp:extent cx="3729331" cy="1924050"/>
                  <wp:effectExtent l="19050" t="19050" r="24130" b="190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8865" cy="19238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032" w:rsidRPr="005177A9" w:rsidRDefault="00781032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EB360D" w:rsidRPr="00AB3EA3" w:rsidTr="00781032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360D" w:rsidRDefault="00781032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3. Click Add Attachment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81032" w:rsidRDefault="00781032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822FC0F" wp14:editId="512C9F85">
                  <wp:extent cx="3895238" cy="1609524"/>
                  <wp:effectExtent l="19050" t="19050" r="10160" b="1016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238" cy="160952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032" w:rsidRPr="005177A9" w:rsidRDefault="00781032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EB360D" w:rsidRPr="00AB3EA3" w:rsidTr="00781032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360D" w:rsidRDefault="00781032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4. Click Browse within </w:t>
            </w:r>
            <w:r w:rsidR="00CC5723">
              <w:rPr>
                <w:bCs w:val="0"/>
                <w:sz w:val="24"/>
                <w:szCs w:val="24"/>
              </w:rPr>
              <w:t xml:space="preserve">the </w:t>
            </w:r>
            <w:r>
              <w:rPr>
                <w:bCs w:val="0"/>
                <w:sz w:val="24"/>
                <w:szCs w:val="24"/>
              </w:rPr>
              <w:t>pop-up box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81032" w:rsidRDefault="00781032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89D32B8" wp14:editId="385707B2">
                  <wp:extent cx="3887100" cy="1600200"/>
                  <wp:effectExtent l="19050" t="19050" r="18415" b="190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954" cy="160096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748" w:rsidRPr="005177A9" w:rsidRDefault="00767748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EB360D" w:rsidRPr="00AB3EA3" w:rsidTr="00781032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360D" w:rsidRDefault="00781032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5. Locate and select the file to attach. Click Open.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81032" w:rsidRDefault="00781032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24AF131" wp14:editId="546565D5">
                  <wp:extent cx="3896232" cy="2769821"/>
                  <wp:effectExtent l="19050" t="19050" r="9525" b="1206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805" cy="276809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723" w:rsidRDefault="00CC5723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67748" w:rsidRPr="005177A9" w:rsidRDefault="00767748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EB360D" w:rsidRPr="00AB3EA3" w:rsidTr="00781032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360D" w:rsidRDefault="00A352A4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6. Enter a description for the attachment. Click OK.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81032" w:rsidRDefault="00781032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34D1642" wp14:editId="4F5BD657">
                  <wp:extent cx="3867150" cy="1553148"/>
                  <wp:effectExtent l="19050" t="19050" r="19050" b="285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6667" cy="155295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748" w:rsidRPr="005177A9" w:rsidRDefault="00767748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EB360D" w:rsidRPr="00AB3EA3" w:rsidTr="00781032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360D" w:rsidRDefault="00A352A4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7. Attachment show</w:t>
            </w:r>
            <w:r w:rsidR="0009773A">
              <w:rPr>
                <w:bCs w:val="0"/>
                <w:sz w:val="24"/>
                <w:szCs w:val="24"/>
              </w:rPr>
              <w:t>s</w:t>
            </w:r>
            <w:r>
              <w:rPr>
                <w:bCs w:val="0"/>
                <w:sz w:val="24"/>
                <w:szCs w:val="24"/>
              </w:rPr>
              <w:t xml:space="preserve"> successful</w:t>
            </w:r>
            <w:r w:rsidR="00483A83">
              <w:rPr>
                <w:bCs w:val="0"/>
                <w:sz w:val="24"/>
                <w:szCs w:val="24"/>
              </w:rPr>
              <w:t>. Complete remainder of Goods Confirmation and finish as normal.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81032" w:rsidRDefault="00781032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9ACD660" wp14:editId="58993354">
                  <wp:extent cx="3923426" cy="904875"/>
                  <wp:effectExtent l="19050" t="19050" r="2032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936" cy="90476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032" w:rsidRPr="005177A9" w:rsidRDefault="00781032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EB360D" w:rsidRPr="00AB3EA3" w:rsidTr="00781032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360D" w:rsidRDefault="00EB360D" w:rsidP="00615DC3">
            <w:pPr>
              <w:spacing w:before="60"/>
              <w:ind w:left="0" w:right="0"/>
              <w:rPr>
                <w:b/>
                <w:bCs w:val="0"/>
                <w:sz w:val="24"/>
                <w:szCs w:val="24"/>
                <w:u w:val="single"/>
              </w:rPr>
            </w:pPr>
            <w:r w:rsidRPr="00EB360D">
              <w:rPr>
                <w:b/>
                <w:bCs w:val="0"/>
                <w:sz w:val="24"/>
                <w:szCs w:val="24"/>
                <w:u w:val="single"/>
              </w:rPr>
              <w:t xml:space="preserve">SAP Goods Receipts </w:t>
            </w:r>
            <w:r w:rsidRPr="00EB360D">
              <w:rPr>
                <w:b/>
                <w:bCs w:val="0"/>
                <w:sz w:val="24"/>
                <w:szCs w:val="24"/>
                <w:u w:val="single"/>
              </w:rPr>
              <w:br/>
              <w:t>(T-Code MIGO)</w:t>
            </w:r>
          </w:p>
          <w:p w:rsidR="0009773A" w:rsidRPr="0009773A" w:rsidRDefault="0009773A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(</w:t>
            </w:r>
            <w:r w:rsidRPr="0009773A">
              <w:rPr>
                <w:bCs w:val="0"/>
                <w:sz w:val="24"/>
                <w:szCs w:val="24"/>
              </w:rPr>
              <w:t>Hospital</w:t>
            </w:r>
            <w:r w:rsidR="00F749D2">
              <w:rPr>
                <w:bCs w:val="0"/>
                <w:sz w:val="24"/>
                <w:szCs w:val="24"/>
              </w:rPr>
              <w:t>s</w:t>
            </w:r>
            <w:r w:rsidRPr="0009773A">
              <w:rPr>
                <w:bCs w:val="0"/>
                <w:sz w:val="24"/>
                <w:szCs w:val="24"/>
              </w:rPr>
              <w:t xml:space="preserve"> and Facilities</w:t>
            </w:r>
            <w:r>
              <w:rPr>
                <w:bCs w:val="0"/>
                <w:sz w:val="24"/>
                <w:szCs w:val="24"/>
              </w:rPr>
              <w:t>)</w:t>
            </w:r>
          </w:p>
          <w:p w:rsidR="0009773A" w:rsidRPr="0009773A" w:rsidRDefault="0009773A" w:rsidP="00615DC3">
            <w:pPr>
              <w:spacing w:before="60"/>
              <w:ind w:left="0" w:right="0"/>
              <w:rPr>
                <w:b/>
                <w:bCs w:val="0"/>
                <w:sz w:val="24"/>
                <w:szCs w:val="24"/>
                <w:u w:val="single"/>
              </w:rPr>
            </w:pPr>
          </w:p>
          <w:p w:rsidR="00EB360D" w:rsidRDefault="00EB360D" w:rsidP="00EB360D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1. Scan or convert packing slip or other document to electronic file form and save to your desktop or other location.</w:t>
            </w:r>
          </w:p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8DF8284" wp14:editId="419ED13A">
                  <wp:extent cx="3697502" cy="2497789"/>
                  <wp:effectExtent l="19050" t="19050" r="17780" b="171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213" cy="250029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360D" w:rsidRPr="005177A9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EB360D" w:rsidRPr="00AB3EA3" w:rsidTr="00781032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360D" w:rsidRDefault="00CC5723" w:rsidP="00CC572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2. Begin</w:t>
            </w:r>
            <w:r w:rsidR="00767748">
              <w:rPr>
                <w:bCs w:val="0"/>
                <w:sz w:val="24"/>
                <w:szCs w:val="24"/>
              </w:rPr>
              <w:t xml:space="preserve"> T-code MIGO as normal to create SAP Goods Receipt. From the Services for Object icon, select Create – Create Document in SAP DB.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EB360D" w:rsidRDefault="00767748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ECD28A8" wp14:editId="5D367363">
                  <wp:extent cx="3541713" cy="1752600"/>
                  <wp:effectExtent l="19050" t="19050" r="20955" b="190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271" cy="175238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723" w:rsidRPr="005177A9" w:rsidRDefault="00CC5723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EB360D" w:rsidRPr="00AB3EA3" w:rsidTr="00781032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360D" w:rsidRDefault="00767748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3. Locate and select attachment. Click Open.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67748" w:rsidRDefault="00767748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DC3D166" wp14:editId="550601BE">
                  <wp:extent cx="3763323" cy="2781300"/>
                  <wp:effectExtent l="19050" t="19050" r="27940" b="190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853" cy="2780953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748" w:rsidRPr="005177A9" w:rsidRDefault="00767748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  <w:tr w:rsidR="00EB360D" w:rsidRPr="00AB3EA3" w:rsidTr="00781032">
        <w:trPr>
          <w:cantSplit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B360D" w:rsidRDefault="00767748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4. Document attaches to SAP Goods Receipt. Complete remainder of Goods Receipt </w:t>
            </w:r>
            <w:r w:rsidR="00CC5723">
              <w:rPr>
                <w:bCs w:val="0"/>
                <w:sz w:val="24"/>
                <w:szCs w:val="24"/>
              </w:rPr>
              <w:t>as normal and Save.</w:t>
            </w:r>
          </w:p>
          <w:p w:rsidR="00767748" w:rsidRDefault="00767748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67748" w:rsidRDefault="00767748" w:rsidP="00227074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 w:rsidRPr="00CC5723">
              <w:rPr>
                <w:bCs w:val="0"/>
                <w:sz w:val="24"/>
                <w:szCs w:val="24"/>
                <w:u w:val="single"/>
              </w:rPr>
              <w:t>Note</w:t>
            </w:r>
            <w:r>
              <w:rPr>
                <w:bCs w:val="0"/>
                <w:sz w:val="24"/>
                <w:szCs w:val="24"/>
              </w:rPr>
              <w:t>: The file may not show under the Services for Object menu un</w:t>
            </w:r>
            <w:r w:rsidR="00227074">
              <w:rPr>
                <w:bCs w:val="0"/>
                <w:sz w:val="24"/>
                <w:szCs w:val="24"/>
              </w:rPr>
              <w:t>til the Goods Receipt is completed</w:t>
            </w:r>
            <w:r>
              <w:rPr>
                <w:bCs w:val="0"/>
                <w:sz w:val="24"/>
                <w:szCs w:val="24"/>
              </w:rPr>
              <w:t xml:space="preserve"> and Saved.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2" w:space="0" w:color="auto"/>
            </w:tcBorders>
          </w:tcPr>
          <w:p w:rsidR="00EB360D" w:rsidRDefault="00EB360D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  <w:p w:rsidR="00767748" w:rsidRDefault="00767748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7B1F23DA" wp14:editId="06BDBC0C">
                  <wp:extent cx="2800000" cy="1228572"/>
                  <wp:effectExtent l="19050" t="19050" r="19685" b="1016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000" cy="122857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748" w:rsidRPr="005177A9" w:rsidRDefault="00767748" w:rsidP="00615DC3">
            <w:pPr>
              <w:spacing w:before="60"/>
              <w:ind w:left="0" w:right="0"/>
              <w:rPr>
                <w:bCs w:val="0"/>
                <w:sz w:val="24"/>
                <w:szCs w:val="24"/>
              </w:rPr>
            </w:pPr>
          </w:p>
        </w:tc>
      </w:tr>
    </w:tbl>
    <w:p w:rsidR="00EB360D" w:rsidRDefault="00EB360D" w:rsidP="00774FEA">
      <w:pPr>
        <w:ind w:left="0"/>
      </w:pPr>
    </w:p>
    <w:sectPr w:rsidR="00EB360D" w:rsidSect="0014580F">
      <w:headerReference w:type="default" r:id="rId19"/>
      <w:footerReference w:type="default" r:id="rId20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B9" w:rsidRDefault="003F5BB9">
      <w:r>
        <w:separator/>
      </w:r>
    </w:p>
  </w:endnote>
  <w:endnote w:type="continuationSeparator" w:id="0">
    <w:p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F0575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ctgQ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" stroked="f">
              <v:textbox>
                <w:txbxContent>
                  <w:p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DF0575">
                      <w:rPr>
                        <w:rStyle w:val="PageNumber"/>
                        <w:noProof/>
                        <w:sz w:val="24"/>
                        <w:szCs w:val="24"/>
                      </w:rPr>
                      <w:t>1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B9" w:rsidRDefault="003F5BB9">
      <w:r>
        <w:separator/>
      </w:r>
    </w:p>
  </w:footnote>
  <w:footnote w:type="continuationSeparator" w:id="0">
    <w:p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B9" w:rsidRPr="00227074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 w:rsidRPr="00227074"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AF489C" wp14:editId="7B8163EE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 w:rsidRPr="00227074"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DE3AACE" wp14:editId="121C78BB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3F5BB9" w:rsidRPr="00227074">
      <w:rPr>
        <w:rFonts w:cs="Lucida Sans Unicode"/>
        <w:b/>
        <w:bCs w:val="0"/>
        <w:iCs/>
        <w:color w:val="6165FD"/>
        <w:sz w:val="28"/>
        <w:szCs w:val="28"/>
      </w:rPr>
      <w:t>Quick Reference Card</w:t>
    </w:r>
    <w:r w:rsidR="003F5BB9" w:rsidRPr="00227074">
      <w:rPr>
        <w:rFonts w:cs="Lucida Sans Unicode"/>
        <w:noProof/>
        <w:color w:val="6165FD"/>
        <w:szCs w:val="28"/>
        <w:lang w:bidi="ar-SA"/>
      </w:rPr>
      <w:t xml:space="preserve"> </w:t>
    </w:r>
  </w:p>
  <w:p w:rsidR="003F5BB9" w:rsidRPr="00A13CEF" w:rsidRDefault="00EB360D" w:rsidP="00672563">
    <w:pPr>
      <w:pStyle w:val="Header"/>
      <w:spacing w:before="0"/>
      <w:ind w:left="360"/>
      <w:rPr>
        <w:rFonts w:cs="Lucida Sans Unicode"/>
        <w:noProof/>
        <w:color w:val="000099"/>
        <w:sz w:val="40"/>
        <w:szCs w:val="40"/>
        <w:lang w:bidi="ar-SA"/>
      </w:rPr>
    </w:pPr>
    <w:r>
      <w:rPr>
        <w:rFonts w:cs="Lucida Sans Unicode"/>
        <w:b/>
        <w:bCs w:val="0"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How to Attach Documents to SRM Goods Confirmations or SAP Goods Receipts</w:t>
    </w:r>
  </w:p>
  <w:p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6"/>
  </w:num>
  <w:num w:numId="24">
    <w:abstractNumId w:val="1"/>
  </w:num>
  <w:num w:numId="25">
    <w:abstractNumId w:val="15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6E"/>
    <w:rsid w:val="000121E7"/>
    <w:rsid w:val="0001472F"/>
    <w:rsid w:val="0001573A"/>
    <w:rsid w:val="000215AA"/>
    <w:rsid w:val="000272FE"/>
    <w:rsid w:val="000325D2"/>
    <w:rsid w:val="0004652E"/>
    <w:rsid w:val="00051DB3"/>
    <w:rsid w:val="00052C84"/>
    <w:rsid w:val="00053336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73A"/>
    <w:rsid w:val="00097EC8"/>
    <w:rsid w:val="000A0841"/>
    <w:rsid w:val="000A204E"/>
    <w:rsid w:val="000A4F1D"/>
    <w:rsid w:val="000A5D90"/>
    <w:rsid w:val="000B3393"/>
    <w:rsid w:val="000B34C7"/>
    <w:rsid w:val="000D4558"/>
    <w:rsid w:val="000E4354"/>
    <w:rsid w:val="000F3B05"/>
    <w:rsid w:val="0010585A"/>
    <w:rsid w:val="00122269"/>
    <w:rsid w:val="00124434"/>
    <w:rsid w:val="00127055"/>
    <w:rsid w:val="0013627B"/>
    <w:rsid w:val="00137663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7453"/>
    <w:rsid w:val="001B000C"/>
    <w:rsid w:val="001B1509"/>
    <w:rsid w:val="001B2A08"/>
    <w:rsid w:val="001B36AF"/>
    <w:rsid w:val="001C01D7"/>
    <w:rsid w:val="001C0B6D"/>
    <w:rsid w:val="001C0F88"/>
    <w:rsid w:val="001C1B1D"/>
    <w:rsid w:val="001E4349"/>
    <w:rsid w:val="001E58CB"/>
    <w:rsid w:val="001E5EBA"/>
    <w:rsid w:val="001F4A61"/>
    <w:rsid w:val="00202E19"/>
    <w:rsid w:val="00206ECE"/>
    <w:rsid w:val="00227074"/>
    <w:rsid w:val="00233F0C"/>
    <w:rsid w:val="00245DE4"/>
    <w:rsid w:val="002478B7"/>
    <w:rsid w:val="00256B1A"/>
    <w:rsid w:val="00261519"/>
    <w:rsid w:val="00262AB6"/>
    <w:rsid w:val="00265981"/>
    <w:rsid w:val="0026780D"/>
    <w:rsid w:val="00267957"/>
    <w:rsid w:val="00267CCD"/>
    <w:rsid w:val="00270C30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6B75"/>
    <w:rsid w:val="0032073F"/>
    <w:rsid w:val="003270AB"/>
    <w:rsid w:val="003353FB"/>
    <w:rsid w:val="003356B5"/>
    <w:rsid w:val="00343149"/>
    <w:rsid w:val="0034699F"/>
    <w:rsid w:val="00352083"/>
    <w:rsid w:val="003539C0"/>
    <w:rsid w:val="00360FC1"/>
    <w:rsid w:val="00362E23"/>
    <w:rsid w:val="003630B9"/>
    <w:rsid w:val="003778AF"/>
    <w:rsid w:val="003A3C47"/>
    <w:rsid w:val="003A5A0D"/>
    <w:rsid w:val="003B4C2A"/>
    <w:rsid w:val="003B5A2B"/>
    <w:rsid w:val="003C3207"/>
    <w:rsid w:val="003D0266"/>
    <w:rsid w:val="003D7A2B"/>
    <w:rsid w:val="003E571F"/>
    <w:rsid w:val="003F4A9F"/>
    <w:rsid w:val="003F5BB9"/>
    <w:rsid w:val="003F7F5D"/>
    <w:rsid w:val="00411053"/>
    <w:rsid w:val="00423109"/>
    <w:rsid w:val="004511C3"/>
    <w:rsid w:val="0045608D"/>
    <w:rsid w:val="004673E3"/>
    <w:rsid w:val="00477F42"/>
    <w:rsid w:val="004806A3"/>
    <w:rsid w:val="00483A83"/>
    <w:rsid w:val="0049618F"/>
    <w:rsid w:val="004A6F33"/>
    <w:rsid w:val="004A7F08"/>
    <w:rsid w:val="004B4DBF"/>
    <w:rsid w:val="004B713A"/>
    <w:rsid w:val="004C0136"/>
    <w:rsid w:val="004C0EC7"/>
    <w:rsid w:val="004C3757"/>
    <w:rsid w:val="004D756F"/>
    <w:rsid w:val="004E6C3B"/>
    <w:rsid w:val="00506436"/>
    <w:rsid w:val="005177A9"/>
    <w:rsid w:val="00530AB4"/>
    <w:rsid w:val="00533774"/>
    <w:rsid w:val="00543F8E"/>
    <w:rsid w:val="0054450B"/>
    <w:rsid w:val="005459B8"/>
    <w:rsid w:val="005560B6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B5372"/>
    <w:rsid w:val="005B5825"/>
    <w:rsid w:val="005B7889"/>
    <w:rsid w:val="005C308F"/>
    <w:rsid w:val="005C42FE"/>
    <w:rsid w:val="005C6E74"/>
    <w:rsid w:val="005C7F40"/>
    <w:rsid w:val="005E2A15"/>
    <w:rsid w:val="005E4298"/>
    <w:rsid w:val="005F3C15"/>
    <w:rsid w:val="005F54D9"/>
    <w:rsid w:val="005F5D0C"/>
    <w:rsid w:val="0060718C"/>
    <w:rsid w:val="0061579F"/>
    <w:rsid w:val="00640D74"/>
    <w:rsid w:val="00651120"/>
    <w:rsid w:val="00652DA1"/>
    <w:rsid w:val="00657801"/>
    <w:rsid w:val="006623FA"/>
    <w:rsid w:val="006634FA"/>
    <w:rsid w:val="00672563"/>
    <w:rsid w:val="00685C3C"/>
    <w:rsid w:val="00686A30"/>
    <w:rsid w:val="0069617E"/>
    <w:rsid w:val="00696670"/>
    <w:rsid w:val="0069748D"/>
    <w:rsid w:val="006B7238"/>
    <w:rsid w:val="006C4D96"/>
    <w:rsid w:val="006D0210"/>
    <w:rsid w:val="006D0C62"/>
    <w:rsid w:val="006D5BC0"/>
    <w:rsid w:val="006E172E"/>
    <w:rsid w:val="006E3E64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67748"/>
    <w:rsid w:val="00774FEA"/>
    <w:rsid w:val="00781032"/>
    <w:rsid w:val="00782380"/>
    <w:rsid w:val="007A11D8"/>
    <w:rsid w:val="007B134D"/>
    <w:rsid w:val="007B1D93"/>
    <w:rsid w:val="007B69D1"/>
    <w:rsid w:val="007B784A"/>
    <w:rsid w:val="007C4A91"/>
    <w:rsid w:val="007D03D9"/>
    <w:rsid w:val="007D7366"/>
    <w:rsid w:val="007D78E6"/>
    <w:rsid w:val="007E1A49"/>
    <w:rsid w:val="007E223C"/>
    <w:rsid w:val="007E6F9F"/>
    <w:rsid w:val="007F5D47"/>
    <w:rsid w:val="008152D7"/>
    <w:rsid w:val="008156B2"/>
    <w:rsid w:val="00824B16"/>
    <w:rsid w:val="00831745"/>
    <w:rsid w:val="00833E5B"/>
    <w:rsid w:val="0083479A"/>
    <w:rsid w:val="008359B7"/>
    <w:rsid w:val="00841529"/>
    <w:rsid w:val="00841BC1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D78"/>
    <w:rsid w:val="00886448"/>
    <w:rsid w:val="0088670D"/>
    <w:rsid w:val="00896C2B"/>
    <w:rsid w:val="00897CF6"/>
    <w:rsid w:val="008A11CD"/>
    <w:rsid w:val="008A4C20"/>
    <w:rsid w:val="008B0F2F"/>
    <w:rsid w:val="008B40C4"/>
    <w:rsid w:val="008C12BE"/>
    <w:rsid w:val="008C12EF"/>
    <w:rsid w:val="008C3D16"/>
    <w:rsid w:val="008C4B7E"/>
    <w:rsid w:val="008C7470"/>
    <w:rsid w:val="008D47DF"/>
    <w:rsid w:val="008D6D9E"/>
    <w:rsid w:val="008E4FB6"/>
    <w:rsid w:val="008F059D"/>
    <w:rsid w:val="008F5FA9"/>
    <w:rsid w:val="00902C38"/>
    <w:rsid w:val="00907F5A"/>
    <w:rsid w:val="00923BF3"/>
    <w:rsid w:val="009373EA"/>
    <w:rsid w:val="00937714"/>
    <w:rsid w:val="00941B55"/>
    <w:rsid w:val="009466FB"/>
    <w:rsid w:val="00965A9B"/>
    <w:rsid w:val="00971F9A"/>
    <w:rsid w:val="00972438"/>
    <w:rsid w:val="00977D03"/>
    <w:rsid w:val="00985A3B"/>
    <w:rsid w:val="00985DA8"/>
    <w:rsid w:val="009877C1"/>
    <w:rsid w:val="009908FA"/>
    <w:rsid w:val="00994BA6"/>
    <w:rsid w:val="00994BE8"/>
    <w:rsid w:val="009B2260"/>
    <w:rsid w:val="009B380A"/>
    <w:rsid w:val="009B5F40"/>
    <w:rsid w:val="009B6967"/>
    <w:rsid w:val="009C493A"/>
    <w:rsid w:val="009D33AD"/>
    <w:rsid w:val="009E5F58"/>
    <w:rsid w:val="009F2F86"/>
    <w:rsid w:val="00A0589B"/>
    <w:rsid w:val="00A13105"/>
    <w:rsid w:val="00A13CEF"/>
    <w:rsid w:val="00A179AD"/>
    <w:rsid w:val="00A212A3"/>
    <w:rsid w:val="00A34287"/>
    <w:rsid w:val="00A352A4"/>
    <w:rsid w:val="00A51EEA"/>
    <w:rsid w:val="00A535D5"/>
    <w:rsid w:val="00A55EE2"/>
    <w:rsid w:val="00A571E9"/>
    <w:rsid w:val="00A611B8"/>
    <w:rsid w:val="00AA16BB"/>
    <w:rsid w:val="00AA4939"/>
    <w:rsid w:val="00AA6ECA"/>
    <w:rsid w:val="00AB3EA3"/>
    <w:rsid w:val="00AC46CE"/>
    <w:rsid w:val="00AC7E73"/>
    <w:rsid w:val="00B05980"/>
    <w:rsid w:val="00B065BF"/>
    <w:rsid w:val="00B1237A"/>
    <w:rsid w:val="00B2653A"/>
    <w:rsid w:val="00B33B37"/>
    <w:rsid w:val="00B34AD7"/>
    <w:rsid w:val="00B42CD8"/>
    <w:rsid w:val="00B51DD6"/>
    <w:rsid w:val="00B56053"/>
    <w:rsid w:val="00B56DA3"/>
    <w:rsid w:val="00B6036D"/>
    <w:rsid w:val="00B6408F"/>
    <w:rsid w:val="00B640D6"/>
    <w:rsid w:val="00B81152"/>
    <w:rsid w:val="00B84D0F"/>
    <w:rsid w:val="00BA66D7"/>
    <w:rsid w:val="00BB4177"/>
    <w:rsid w:val="00BC2020"/>
    <w:rsid w:val="00BC27E9"/>
    <w:rsid w:val="00BD34BF"/>
    <w:rsid w:val="00BE18FF"/>
    <w:rsid w:val="00BE36C8"/>
    <w:rsid w:val="00BF6312"/>
    <w:rsid w:val="00BF6FDC"/>
    <w:rsid w:val="00C02B7A"/>
    <w:rsid w:val="00C07A87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3392"/>
    <w:rsid w:val="00C84A7E"/>
    <w:rsid w:val="00C930B7"/>
    <w:rsid w:val="00CB281F"/>
    <w:rsid w:val="00CC37CE"/>
    <w:rsid w:val="00CC48C4"/>
    <w:rsid w:val="00CC4DF0"/>
    <w:rsid w:val="00CC5723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40FFD"/>
    <w:rsid w:val="00D5440F"/>
    <w:rsid w:val="00D55F8C"/>
    <w:rsid w:val="00D64002"/>
    <w:rsid w:val="00D6587A"/>
    <w:rsid w:val="00D72A95"/>
    <w:rsid w:val="00D85B4A"/>
    <w:rsid w:val="00D91878"/>
    <w:rsid w:val="00D930DE"/>
    <w:rsid w:val="00D9527B"/>
    <w:rsid w:val="00D97682"/>
    <w:rsid w:val="00DB0424"/>
    <w:rsid w:val="00DB3471"/>
    <w:rsid w:val="00DB41C9"/>
    <w:rsid w:val="00DC16BD"/>
    <w:rsid w:val="00DC49DD"/>
    <w:rsid w:val="00DC545E"/>
    <w:rsid w:val="00DC6A0F"/>
    <w:rsid w:val="00DD1C34"/>
    <w:rsid w:val="00DE3FB8"/>
    <w:rsid w:val="00DF0575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610F0"/>
    <w:rsid w:val="00E633C5"/>
    <w:rsid w:val="00E664E9"/>
    <w:rsid w:val="00E73B86"/>
    <w:rsid w:val="00E76268"/>
    <w:rsid w:val="00E81237"/>
    <w:rsid w:val="00E86578"/>
    <w:rsid w:val="00E916DF"/>
    <w:rsid w:val="00E93791"/>
    <w:rsid w:val="00E971F5"/>
    <w:rsid w:val="00EA0F45"/>
    <w:rsid w:val="00EA7CD3"/>
    <w:rsid w:val="00EB020D"/>
    <w:rsid w:val="00EB360D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16EF0"/>
    <w:rsid w:val="00F24248"/>
    <w:rsid w:val="00F3035B"/>
    <w:rsid w:val="00F51A3E"/>
    <w:rsid w:val="00F533BA"/>
    <w:rsid w:val="00F646A3"/>
    <w:rsid w:val="00F70284"/>
    <w:rsid w:val="00F749D2"/>
    <w:rsid w:val="00F82E35"/>
    <w:rsid w:val="00F84720"/>
    <w:rsid w:val="00F858F5"/>
    <w:rsid w:val="00F870B7"/>
    <w:rsid w:val="00F91220"/>
    <w:rsid w:val="00F93C67"/>
    <w:rsid w:val="00FB1556"/>
    <w:rsid w:val="00FB6C3C"/>
    <w:rsid w:val="00FC0552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12D2-FC2C-4A17-902D-35996CF0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1</TotalTime>
  <Pages>4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Locke, Craig E</cp:lastModifiedBy>
  <cp:revision>3</cp:revision>
  <cp:lastPrinted>2016-05-26T18:21:00Z</cp:lastPrinted>
  <dcterms:created xsi:type="dcterms:W3CDTF">2016-05-27T14:12:00Z</dcterms:created>
  <dcterms:modified xsi:type="dcterms:W3CDTF">2016-05-27T14:12:00Z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